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360" w:lineRule="auto"/>
        <w:ind w:left="705" w:firstLine="0"/>
        <w:jc w:val="center"/>
        <w:rPr>
          <w:sz w:val="40"/>
          <w:szCs w:val="40"/>
        </w:rPr>
      </w:pPr>
      <w:bookmarkStart w:colFirst="0" w:colLast="0" w:name="_t6g7jcuc29sa" w:id="0"/>
      <w:bookmarkEnd w:id="0"/>
      <w:r w:rsidDel="00000000" w:rsidR="00000000" w:rsidRPr="00000000">
        <w:rPr>
          <w:sz w:val="40"/>
          <w:szCs w:val="40"/>
          <w:rtl w:val="0"/>
        </w:rPr>
        <w:t xml:space="preserve">AI Usage Policy</w:t>
      </w:r>
    </w:p>
    <w:p w:rsidR="00000000" w:rsidDel="00000000" w:rsidP="00000000" w:rsidRDefault="00000000" w:rsidRPr="00000000" w14:paraId="00000002">
      <w:pPr>
        <w:pStyle w:val="Heading1"/>
        <w:spacing w:before="0" w:line="360" w:lineRule="auto"/>
        <w:ind w:left="705" w:firstLine="0"/>
        <w:jc w:val="center"/>
        <w:rPr/>
      </w:pPr>
      <w:bookmarkStart w:colFirst="0" w:colLast="0" w:name="_1kvr9icl5nyb" w:id="1"/>
      <w:bookmarkEnd w:id="1"/>
      <w:r w:rsidDel="00000000" w:rsidR="00000000" w:rsidRPr="00000000">
        <w:rPr>
          <w:sz w:val="34"/>
          <w:szCs w:val="34"/>
          <w:rtl w:val="0"/>
        </w:rPr>
        <w:t xml:space="preserve">(for Small &amp; Mid-Sized Businesses)</w:t>
      </w:r>
      <w:r w:rsidDel="00000000" w:rsidR="00000000" w:rsidRPr="00000000">
        <w:rPr>
          <w:rtl w:val="0"/>
        </w:rPr>
      </w:r>
    </w:p>
    <w:p w:rsidR="00000000" w:rsidDel="00000000" w:rsidP="00000000" w:rsidRDefault="00000000" w:rsidRPr="00000000" w14:paraId="00000003">
      <w:pPr>
        <w:spacing w:before="0" w:line="360" w:lineRule="auto"/>
        <w:ind w:left="0" w:firstLine="0"/>
        <w:rPr>
          <w:i w:val="1"/>
          <w:iCs w:val="1"/>
        </w:rPr>
      </w:pPr>
      <w:r w:rsidDel="00000000" w:rsidR="00000000" w:rsidRPr="00000000">
        <w:rPr>
          <w:i w:val="1"/>
          <w:iCs w:val="1"/>
          <w:rtl w:val="0"/>
        </w:rPr>
        <w:t xml:space="preserve">Prepared BY: SafeAi for business</w:t>
      </w:r>
      <w:r w:rsidDel="00000000" w:rsidR="00000000" w:rsidRPr="00000000">
        <w:rPr>
          <w:rtl w:val="0"/>
        </w:rPr>
      </w:r>
    </w:p>
    <w:p w:rsidR="00000000" w:rsidDel="00000000" w:rsidP="00000000" w:rsidRDefault="00000000" w:rsidRPr="00000000" w14:paraId="00000004">
      <w:pPr>
        <w:spacing w:before="0" w:line="360" w:lineRule="auto"/>
        <w:ind w:left="0" w:firstLine="0"/>
        <w:rPr/>
      </w:pPr>
      <w:r w:rsidDel="00000000" w:rsidR="00000000" w:rsidRPr="00000000">
        <w:rPr/>
        <w:drawing>
          <wp:inline distB="114300" distT="114300" distL="114300" distR="114300">
            <wp:extent cx="5943600" cy="254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1"/>
        <w:spacing w:after="120" w:before="480" w:lineRule="auto"/>
        <w:ind w:left="0" w:firstLine="0"/>
        <w:jc w:val="center"/>
        <w:rPr>
          <w:sz w:val="34"/>
          <w:szCs w:val="34"/>
        </w:rPr>
      </w:pPr>
      <w:bookmarkStart w:colFirst="0" w:colLast="0" w:name="_78c8xblj1n5k" w:id="2"/>
      <w:bookmarkEnd w:id="2"/>
      <w:r w:rsidDel="00000000" w:rsidR="00000000" w:rsidRPr="00000000">
        <w:rPr>
          <w:sz w:val="36"/>
          <w:szCs w:val="36"/>
          <w:rtl w:val="0"/>
        </w:rPr>
        <w:t xml:space="preserve">AI Usage Policy for Small and Mid-Sized Businesses</w:t>
      </w:r>
      <w:r w:rsidDel="00000000" w:rsidR="00000000" w:rsidRPr="00000000">
        <w:rPr>
          <w:rtl w:val="0"/>
        </w:rPr>
      </w:r>
    </w:p>
    <w:p w:rsidR="00000000" w:rsidDel="00000000" w:rsidP="00000000" w:rsidRDefault="00000000" w:rsidRPr="00000000" w14:paraId="00000006">
      <w:pPr>
        <w:spacing w:after="240" w:before="240" w:lineRule="auto"/>
        <w:ind w:left="0" w:firstLine="0"/>
        <w:jc w:val="both"/>
        <w:rPr/>
      </w:pPr>
      <w:r w:rsidDel="00000000" w:rsidR="00000000" w:rsidRPr="00000000">
        <w:rPr>
          <w:b w:val="1"/>
          <w:bCs w:val="1"/>
          <w:sz w:val="24"/>
          <w:szCs w:val="24"/>
          <w:rtl w:val="0"/>
        </w:rPr>
        <w:t xml:space="preserve">Purpose:</w:t>
      </w:r>
      <w:r w:rsidDel="00000000" w:rsidR="00000000" w:rsidRPr="00000000">
        <w:rPr>
          <w:rtl w:val="0"/>
        </w:rPr>
        <w:br w:type="textWrapping"/>
        <w:t xml:space="preserve">This policy establishes rules and expectations for the safe, ethical, and compliant use of Artificial Intelligence (AI) tools within our organization. It aims to protect data, ensure responsible use, and align with international frameworks (ISO/IEC 42001, NIST AI RMF, EU AI Act, GDPR).</w:t>
      </w:r>
    </w:p>
    <w:p w:rsidR="00000000" w:rsidDel="00000000" w:rsidP="00000000" w:rsidRDefault="00000000" w:rsidRPr="00000000" w14:paraId="00000007">
      <w:pPr>
        <w:spacing w:after="240" w:before="240" w:line="276" w:lineRule="auto"/>
        <w:ind w:left="0" w:firstLine="0"/>
        <w:rPr>
          <w:b w:val="1"/>
          <w:bCs w:val="1"/>
          <w:sz w:val="24"/>
          <w:szCs w:val="24"/>
        </w:rPr>
      </w:pPr>
      <w:r w:rsidDel="00000000" w:rsidR="00000000" w:rsidRPr="00000000">
        <w:rPr>
          <w:b w:val="1"/>
          <w:bCs w:val="1"/>
          <w:sz w:val="24"/>
          <w:szCs w:val="24"/>
          <w:rtl w:val="0"/>
        </w:rPr>
        <w:t xml:space="preserve">Scope:</w:t>
      </w:r>
    </w:p>
    <w:p w:rsidR="00000000" w:rsidDel="00000000" w:rsidP="00000000" w:rsidRDefault="00000000" w:rsidRPr="00000000" w14:paraId="00000008">
      <w:pPr>
        <w:spacing w:after="240" w:before="240" w:line="360" w:lineRule="auto"/>
        <w:ind w:left="0" w:firstLine="0"/>
        <w:rPr/>
      </w:pPr>
      <w:r w:rsidDel="00000000" w:rsidR="00000000" w:rsidRPr="00000000">
        <w:rPr>
          <w:rtl w:val="0"/>
        </w:rPr>
        <w:t xml:space="preserve">This policy applies to all employees, contractors, and third-party vendors who use, procure, or manage AI systems and tools on behalf of the organization.</w:t>
      </w:r>
    </w:p>
    <w:p w:rsidR="00000000" w:rsidDel="00000000" w:rsidP="00000000" w:rsidRDefault="00000000" w:rsidRPr="00000000" w14:paraId="00000009">
      <w:pPr>
        <w:pStyle w:val="Heading2"/>
        <w:spacing w:after="80" w:before="360" w:line="360" w:lineRule="auto"/>
        <w:ind w:left="0" w:right="0" w:firstLine="0"/>
        <w:rPr>
          <w:sz w:val="24"/>
          <w:szCs w:val="24"/>
        </w:rPr>
      </w:pPr>
      <w:bookmarkStart w:colFirst="0" w:colLast="0" w:name="_wuveatp2kbqr" w:id="3"/>
      <w:bookmarkEnd w:id="3"/>
      <w:r w:rsidDel="00000000" w:rsidR="00000000" w:rsidRPr="00000000">
        <w:rPr>
          <w:sz w:val="24"/>
          <w:szCs w:val="24"/>
          <w:rtl w:val="0"/>
        </w:rPr>
        <w:t xml:space="preserve">Policy Statements:</w:t>
      </w:r>
    </w:p>
    <w:p w:rsidR="00000000" w:rsidDel="00000000" w:rsidP="00000000" w:rsidRDefault="00000000" w:rsidRPr="00000000" w14:paraId="0000000A">
      <w:pPr>
        <w:numPr>
          <w:ilvl w:val="0"/>
          <w:numId w:val="2"/>
        </w:numPr>
        <w:spacing w:after="0" w:afterAutospacing="0"/>
        <w:ind w:left="720" w:hanging="360"/>
        <w:rPr/>
      </w:pPr>
      <w:r w:rsidDel="00000000" w:rsidR="00000000" w:rsidRPr="00000000">
        <w:rPr>
          <w:rtl w:val="0"/>
        </w:rPr>
        <w:t xml:space="preserve">AI must only be used for approved business purposes, never for personal gain or unauthorized activities.</w:t>
      </w:r>
    </w:p>
    <w:p w:rsidR="00000000" w:rsidDel="00000000" w:rsidP="00000000" w:rsidRDefault="00000000" w:rsidRPr="00000000" w14:paraId="0000000B">
      <w:pPr>
        <w:numPr>
          <w:ilvl w:val="0"/>
          <w:numId w:val="2"/>
        </w:numPr>
        <w:spacing w:after="0" w:afterAutospacing="0" w:before="0" w:beforeAutospacing="0"/>
        <w:ind w:left="720" w:hanging="360"/>
        <w:rPr/>
      </w:pPr>
      <w:r w:rsidDel="00000000" w:rsidR="00000000" w:rsidRPr="00000000">
        <w:rPr>
          <w:rtl w:val="0"/>
        </w:rPr>
        <w:t xml:space="preserve">Data used in AI tools must be accurate, relevant, and handled in compliance with GDPR and local privacy laws.</w:t>
      </w:r>
    </w:p>
    <w:p w:rsidR="00000000" w:rsidDel="00000000" w:rsidP="00000000" w:rsidRDefault="00000000" w:rsidRPr="00000000" w14:paraId="0000000C">
      <w:pPr>
        <w:numPr>
          <w:ilvl w:val="0"/>
          <w:numId w:val="2"/>
        </w:numPr>
        <w:spacing w:after="0" w:afterAutospacing="0" w:before="0" w:beforeAutospacing="0"/>
        <w:ind w:left="720" w:hanging="360"/>
        <w:rPr/>
      </w:pPr>
      <w:r w:rsidDel="00000000" w:rsidR="00000000" w:rsidRPr="00000000">
        <w:rPr>
          <w:rtl w:val="0"/>
        </w:rPr>
        <w:t xml:space="preserve">High-risk AI applications (e.g., decision-making on hiring, finance, or safety) require senior management approval.</w:t>
      </w:r>
    </w:p>
    <w:p w:rsidR="00000000" w:rsidDel="00000000" w:rsidP="00000000" w:rsidRDefault="00000000" w:rsidRPr="00000000" w14:paraId="0000000D">
      <w:pPr>
        <w:numPr>
          <w:ilvl w:val="0"/>
          <w:numId w:val="2"/>
        </w:numPr>
        <w:spacing w:after="0" w:afterAutospacing="0" w:before="0" w:beforeAutospacing="0"/>
        <w:ind w:left="720" w:hanging="360"/>
        <w:rPr/>
      </w:pPr>
      <w:r w:rsidDel="00000000" w:rsidR="00000000" w:rsidRPr="00000000">
        <w:rPr>
          <w:rtl w:val="0"/>
        </w:rPr>
        <w:t xml:space="preserve">Human-in-the-loop oversight is mandatory for AI decisions that significantly affect individuals or business operations.</w:t>
      </w:r>
    </w:p>
    <w:p w:rsidR="00000000" w:rsidDel="00000000" w:rsidP="00000000" w:rsidRDefault="00000000" w:rsidRPr="00000000" w14:paraId="0000000E">
      <w:pPr>
        <w:numPr>
          <w:ilvl w:val="0"/>
          <w:numId w:val="2"/>
        </w:numPr>
        <w:spacing w:after="0" w:afterAutospacing="0" w:before="0" w:beforeAutospacing="0"/>
        <w:ind w:left="720" w:hanging="360"/>
        <w:rPr/>
      </w:pPr>
      <w:r w:rsidDel="00000000" w:rsidR="00000000" w:rsidRPr="00000000">
        <w:rPr>
          <w:rtl w:val="0"/>
        </w:rPr>
        <w:t xml:space="preserve">Sensitive or confidential data must not be uploaded into public AI tools without anonymization and prior approval.</w:t>
      </w:r>
    </w:p>
    <w:p w:rsidR="00000000" w:rsidDel="00000000" w:rsidP="00000000" w:rsidRDefault="00000000" w:rsidRPr="00000000" w14:paraId="0000000F">
      <w:pPr>
        <w:numPr>
          <w:ilvl w:val="0"/>
          <w:numId w:val="2"/>
        </w:numPr>
        <w:spacing w:after="0" w:afterAutospacing="0" w:before="0" w:beforeAutospacing="0"/>
        <w:ind w:left="720" w:hanging="360"/>
        <w:rPr/>
      </w:pPr>
      <w:r w:rsidDel="00000000" w:rsidR="00000000" w:rsidRPr="00000000">
        <w:rPr>
          <w:rtl w:val="0"/>
        </w:rPr>
        <w:t xml:space="preserve">Third-party AI vendors must undergo due diligence for security, compliance, and reliability.</w:t>
      </w:r>
    </w:p>
    <w:p w:rsidR="00000000" w:rsidDel="00000000" w:rsidP="00000000" w:rsidRDefault="00000000" w:rsidRPr="00000000" w14:paraId="00000010">
      <w:pPr>
        <w:numPr>
          <w:ilvl w:val="0"/>
          <w:numId w:val="2"/>
        </w:numPr>
        <w:spacing w:after="0" w:afterAutospacing="0" w:before="0" w:beforeAutospacing="0"/>
        <w:ind w:left="720" w:hanging="360"/>
        <w:rPr/>
      </w:pPr>
      <w:r w:rsidDel="00000000" w:rsidR="00000000" w:rsidRPr="00000000">
        <w:rPr>
          <w:rtl w:val="0"/>
        </w:rPr>
        <w:t xml:space="preserve">Employees must complete training on ethical and secure AI use before using AI-powered systems.</w:t>
      </w:r>
    </w:p>
    <w:p w:rsidR="00000000" w:rsidDel="00000000" w:rsidP="00000000" w:rsidRDefault="00000000" w:rsidRPr="00000000" w14:paraId="00000011">
      <w:pPr>
        <w:numPr>
          <w:ilvl w:val="0"/>
          <w:numId w:val="2"/>
        </w:numPr>
        <w:spacing w:after="0" w:afterAutospacing="0" w:before="0" w:beforeAutospacing="0"/>
        <w:ind w:left="720" w:hanging="360"/>
        <w:rPr/>
      </w:pPr>
      <w:r w:rsidDel="00000000" w:rsidR="00000000" w:rsidRPr="00000000">
        <w:rPr>
          <w:rtl w:val="0"/>
        </w:rPr>
        <w:t xml:space="preserve">AI outputs must be verified for accuracy before use in official reports, communications, or customer-facing activities.</w:t>
      </w:r>
    </w:p>
    <w:p w:rsidR="00000000" w:rsidDel="00000000" w:rsidP="00000000" w:rsidRDefault="00000000" w:rsidRPr="00000000" w14:paraId="00000012">
      <w:pPr>
        <w:numPr>
          <w:ilvl w:val="0"/>
          <w:numId w:val="2"/>
        </w:numPr>
        <w:spacing w:after="0" w:afterAutospacing="0" w:before="0" w:beforeAutospacing="0"/>
        <w:ind w:left="720" w:hanging="360"/>
        <w:rPr/>
      </w:pPr>
      <w:r w:rsidDel="00000000" w:rsidR="00000000" w:rsidRPr="00000000">
        <w:rPr>
          <w:rtl w:val="0"/>
        </w:rPr>
        <w:t xml:space="preserve">All AI use must comply with intellectual property laws, copyright protections, and licensing agreements.</w:t>
      </w:r>
    </w:p>
    <w:p w:rsidR="00000000" w:rsidDel="00000000" w:rsidP="00000000" w:rsidRDefault="00000000" w:rsidRPr="00000000" w14:paraId="00000013">
      <w:pPr>
        <w:numPr>
          <w:ilvl w:val="0"/>
          <w:numId w:val="2"/>
        </w:numPr>
        <w:spacing w:before="0" w:beforeAutospacing="0"/>
        <w:ind w:left="720" w:hanging="360"/>
        <w:rPr/>
      </w:pPr>
      <w:r w:rsidDel="00000000" w:rsidR="00000000" w:rsidRPr="00000000">
        <w:rPr>
          <w:rtl w:val="0"/>
        </w:rPr>
        <w:t xml:space="preserve">Incidents, misuse, or potential AI-related risks must be reported immediately to the Quality or Compliance team.</w:t>
      </w:r>
    </w:p>
    <w:p w:rsidR="00000000" w:rsidDel="00000000" w:rsidP="00000000" w:rsidRDefault="00000000" w:rsidRPr="00000000" w14:paraId="00000014">
      <w:pPr>
        <w:pStyle w:val="Heading2"/>
        <w:spacing w:after="80" w:before="360" w:line="360" w:lineRule="auto"/>
        <w:ind w:left="0" w:right="0" w:firstLine="0"/>
        <w:rPr>
          <w:sz w:val="24"/>
          <w:szCs w:val="24"/>
        </w:rPr>
      </w:pPr>
      <w:bookmarkStart w:colFirst="0" w:colLast="0" w:name="_hevkiif83koz" w:id="4"/>
      <w:bookmarkEnd w:id="4"/>
      <w:r w:rsidDel="00000000" w:rsidR="00000000" w:rsidRPr="00000000">
        <w:rPr>
          <w:sz w:val="24"/>
          <w:szCs w:val="24"/>
          <w:rtl w:val="0"/>
        </w:rPr>
        <w:t xml:space="preserve">Roles and Responsibilities:</w:t>
      </w:r>
    </w:p>
    <w:p w:rsidR="00000000" w:rsidDel="00000000" w:rsidP="00000000" w:rsidRDefault="00000000" w:rsidRPr="00000000" w14:paraId="00000015">
      <w:pPr>
        <w:spacing w:line="276" w:lineRule="auto"/>
        <w:rPr/>
      </w:pPr>
      <w:r w:rsidDel="00000000" w:rsidR="00000000" w:rsidRPr="00000000">
        <w:rPr>
          <w:rtl w:val="0"/>
        </w:rPr>
        <w:t xml:space="preserve">Management: Approves high-risk AI use, ensures compliance, and provides resources for oversight.</w:t>
      </w:r>
    </w:p>
    <w:p w:rsidR="00000000" w:rsidDel="00000000" w:rsidP="00000000" w:rsidRDefault="00000000" w:rsidRPr="00000000" w14:paraId="00000016">
      <w:pPr>
        <w:spacing w:line="276" w:lineRule="auto"/>
        <w:rPr/>
      </w:pPr>
      <w:r w:rsidDel="00000000" w:rsidR="00000000" w:rsidRPr="00000000">
        <w:rPr>
          <w:rtl w:val="0"/>
        </w:rPr>
        <w:t xml:space="preserve">Employees: Follow policy, complete training, and report risks or misuse.</w:t>
      </w:r>
    </w:p>
    <w:p w:rsidR="00000000" w:rsidDel="00000000" w:rsidP="00000000" w:rsidRDefault="00000000" w:rsidRPr="00000000" w14:paraId="00000017">
      <w:pPr>
        <w:spacing w:line="276" w:lineRule="auto"/>
        <w:rPr/>
      </w:pPr>
      <w:r w:rsidDel="00000000" w:rsidR="00000000" w:rsidRPr="00000000">
        <w:rPr>
          <w:rtl w:val="0"/>
        </w:rPr>
        <w:t xml:space="preserve">IT/Quality Team: Monitor AI use, conduct audits, and manage vendor assessments.</w:t>
      </w:r>
    </w:p>
    <w:p w:rsidR="00000000" w:rsidDel="00000000" w:rsidP="00000000" w:rsidRDefault="00000000" w:rsidRPr="00000000" w14:paraId="00000018">
      <w:pPr>
        <w:rPr/>
      </w:pPr>
      <w:r w:rsidDel="00000000" w:rsidR="00000000" w:rsidRPr="00000000">
        <w:rPr>
          <w:rtl w:val="0"/>
        </w:rPr>
        <w:t xml:space="preserve">Vendors: Demonstrate compliance with this policy and relevant frameworks.</w:t>
      </w:r>
    </w:p>
    <w:p w:rsidR="00000000" w:rsidDel="00000000" w:rsidP="00000000" w:rsidRDefault="00000000" w:rsidRPr="00000000" w14:paraId="00000019">
      <w:pPr>
        <w:rPr>
          <w:b w:val="1"/>
          <w:bCs w:val="1"/>
          <w:sz w:val="24"/>
          <w:szCs w:val="24"/>
        </w:rPr>
      </w:pPr>
      <w:r w:rsidDel="00000000" w:rsidR="00000000" w:rsidRPr="00000000">
        <w:rPr>
          <w:b w:val="1"/>
          <w:bCs w:val="1"/>
          <w:sz w:val="24"/>
          <w:szCs w:val="24"/>
          <w:rtl w:val="0"/>
        </w:rPr>
        <w:t xml:space="preserve">Enforcement:</w:t>
      </w:r>
    </w:p>
    <w:p w:rsidR="00000000" w:rsidDel="00000000" w:rsidP="00000000" w:rsidRDefault="00000000" w:rsidRPr="00000000" w14:paraId="0000001A">
      <w:pPr>
        <w:rPr/>
      </w:pPr>
      <w:r w:rsidDel="00000000" w:rsidR="00000000" w:rsidRPr="00000000">
        <w:rPr>
          <w:rtl w:val="0"/>
        </w:rPr>
        <w:t xml:space="preserve">Non-compliance with this policy may result in disciplinary action, up to and including termination of employment or contract. Vendors in violation may face contract termination.</w:t>
      </w:r>
    </w:p>
    <w:p w:rsidR="00000000" w:rsidDel="00000000" w:rsidP="00000000" w:rsidRDefault="00000000" w:rsidRPr="00000000" w14:paraId="0000001B">
      <w:pPr>
        <w:rPr>
          <w:b w:val="1"/>
          <w:bCs w:val="1"/>
          <w:sz w:val="24"/>
          <w:szCs w:val="24"/>
        </w:rPr>
      </w:pPr>
      <w:r w:rsidDel="00000000" w:rsidR="00000000" w:rsidRPr="00000000">
        <w:rPr>
          <w:b w:val="1"/>
          <w:bCs w:val="1"/>
          <w:sz w:val="24"/>
          <w:szCs w:val="24"/>
          <w:rtl w:val="0"/>
        </w:rPr>
        <w:t xml:space="preserve">References:</w:t>
      </w:r>
    </w:p>
    <w:p w:rsidR="00000000" w:rsidDel="00000000" w:rsidP="00000000" w:rsidRDefault="00000000" w:rsidRPr="00000000" w14:paraId="0000001C">
      <w:pPr>
        <w:numPr>
          <w:ilvl w:val="0"/>
          <w:numId w:val="1"/>
        </w:numPr>
        <w:spacing w:after="0" w:afterAutospacing="0" w:before="240" w:lineRule="auto"/>
        <w:ind w:left="720" w:hanging="360"/>
        <w:rPr>
          <w:b w:val="1"/>
          <w:bCs w:val="1"/>
          <w:sz w:val="24"/>
          <w:szCs w:val="24"/>
        </w:rPr>
      </w:pPr>
      <w:r w:rsidDel="00000000" w:rsidR="00000000" w:rsidRPr="00000000">
        <w:rPr>
          <w:rtl w:val="0"/>
        </w:rPr>
        <w:t xml:space="preserve">ISO/IEC 42001: AI Management Systems.</w:t>
      </w:r>
    </w:p>
    <w:p w:rsidR="00000000" w:rsidDel="00000000" w:rsidP="00000000" w:rsidRDefault="00000000" w:rsidRPr="00000000" w14:paraId="0000001D">
      <w:pPr>
        <w:numPr>
          <w:ilvl w:val="0"/>
          <w:numId w:val="1"/>
        </w:numPr>
        <w:spacing w:after="0" w:afterAutospacing="0" w:before="0" w:beforeAutospacing="0" w:lineRule="auto"/>
        <w:ind w:left="720" w:hanging="360"/>
        <w:rPr>
          <w:b w:val="1"/>
          <w:bCs w:val="1"/>
          <w:sz w:val="24"/>
          <w:szCs w:val="24"/>
        </w:rPr>
      </w:pPr>
      <w:r w:rsidDel="00000000" w:rsidR="00000000" w:rsidRPr="00000000">
        <w:rPr>
          <w:rtl w:val="0"/>
        </w:rPr>
        <w:t xml:space="preserve">NIST AI Risk Management Framework.</w:t>
      </w:r>
    </w:p>
    <w:p w:rsidR="00000000" w:rsidDel="00000000" w:rsidP="00000000" w:rsidRDefault="00000000" w:rsidRPr="00000000" w14:paraId="0000001E">
      <w:pPr>
        <w:numPr>
          <w:ilvl w:val="0"/>
          <w:numId w:val="1"/>
        </w:numPr>
        <w:spacing w:after="0" w:afterAutospacing="0" w:before="0" w:beforeAutospacing="0" w:lineRule="auto"/>
        <w:ind w:left="720" w:hanging="360"/>
        <w:rPr>
          <w:b w:val="1"/>
          <w:bCs w:val="1"/>
          <w:sz w:val="24"/>
          <w:szCs w:val="24"/>
        </w:rPr>
      </w:pPr>
      <w:r w:rsidDel="00000000" w:rsidR="00000000" w:rsidRPr="00000000">
        <w:rPr>
          <w:rtl w:val="0"/>
        </w:rPr>
        <w:t xml:space="preserve">ISO/IEC 27001: Information Security.</w:t>
      </w:r>
    </w:p>
    <w:p w:rsidR="00000000" w:rsidDel="00000000" w:rsidP="00000000" w:rsidRDefault="00000000" w:rsidRPr="00000000" w14:paraId="0000001F">
      <w:pPr>
        <w:numPr>
          <w:ilvl w:val="0"/>
          <w:numId w:val="1"/>
        </w:numPr>
        <w:spacing w:after="0" w:afterAutospacing="0" w:before="0" w:beforeAutospacing="0" w:lineRule="auto"/>
        <w:ind w:left="720" w:hanging="360"/>
        <w:rPr>
          <w:b w:val="1"/>
          <w:bCs w:val="1"/>
          <w:sz w:val="24"/>
          <w:szCs w:val="24"/>
        </w:rPr>
      </w:pPr>
      <w:r w:rsidDel="00000000" w:rsidR="00000000" w:rsidRPr="00000000">
        <w:rPr>
          <w:rtl w:val="0"/>
        </w:rPr>
        <w:t xml:space="preserve">EU AI Act (2024)</w:t>
      </w:r>
    </w:p>
    <w:p w:rsidR="00000000" w:rsidDel="00000000" w:rsidP="00000000" w:rsidRDefault="00000000" w:rsidRPr="00000000" w14:paraId="00000020">
      <w:pPr>
        <w:numPr>
          <w:ilvl w:val="0"/>
          <w:numId w:val="1"/>
        </w:numPr>
        <w:spacing w:after="240" w:before="0" w:beforeAutospacing="0" w:lineRule="auto"/>
        <w:ind w:left="720" w:hanging="360"/>
        <w:rPr>
          <w:b w:val="1"/>
          <w:bCs w:val="1"/>
          <w:sz w:val="24"/>
          <w:szCs w:val="24"/>
        </w:rPr>
      </w:pPr>
      <w:r w:rsidDel="00000000" w:rsidR="00000000" w:rsidRPr="00000000">
        <w:rPr>
          <w:rtl w:val="0"/>
        </w:rPr>
        <w:t xml:space="preserve">GDPR.</w:t>
      </w:r>
    </w:p>
    <w:p w:rsidR="00000000" w:rsidDel="00000000" w:rsidP="00000000" w:rsidRDefault="00000000" w:rsidRPr="00000000" w14:paraId="00000021">
      <w:pPr>
        <w:spacing w:after="240" w:before="240" w:lineRule="auto"/>
        <w:ind w:left="0" w:firstLine="0"/>
        <w:rPr/>
      </w:pPr>
      <w:r w:rsidDel="00000000" w:rsidR="00000000" w:rsidRPr="00000000">
        <w:rPr>
          <w:rtl w:val="0"/>
        </w:rPr>
      </w:r>
    </w:p>
    <w:p w:rsidR="00000000" w:rsidDel="00000000" w:rsidP="00000000" w:rsidRDefault="00000000" w:rsidRPr="00000000" w14:paraId="00000022">
      <w:pPr>
        <w:spacing w:after="240" w:before="240" w:line="276" w:lineRule="auto"/>
        <w:ind w:left="0" w:firstLine="0"/>
        <w:jc w:val="center"/>
        <w:rPr/>
      </w:pPr>
      <w:r w:rsidDel="00000000" w:rsidR="00000000" w:rsidRPr="00000000">
        <w:rPr>
          <w:rtl w:val="0"/>
        </w:rPr>
        <w:t xml:space="preserve">Disclaimer: This policy is provided as operational best practice, not legal advice.</w:t>
        <w:br w:type="textWrapping"/>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Economic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25400"/>
          <wp:effectExtent b="0" l="0" r="0" t="0"/>
          <wp:docPr descr="horizontal line" id="5"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Style w:val="Subtitle"/>
      <w:pBdr>
        <w:top w:space="0" w:sz="0" w:val="nil"/>
        <w:left w:space="0" w:sz="0" w:val="nil"/>
        <w:bottom w:space="0" w:sz="0" w:val="nil"/>
        <w:right w:space="0" w:sz="0" w:val="nil"/>
        <w:between w:space="0" w:sz="0" w:val="nil"/>
      </w:pBdr>
      <w:shd w:fill="auto" w:val="clear"/>
      <w:spacing w:before="0" w:lineRule="auto"/>
      <w:rPr/>
    </w:pPr>
    <w:bookmarkStart w:colFirst="0" w:colLast="0" w:name="_1dp8mb5ajzj1" w:id="5"/>
    <w:bookmarkEnd w:id="5"/>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drawing>
        <wp:inline distB="114300" distT="114300" distL="114300" distR="114300">
          <wp:extent cx="5943600" cy="25400"/>
          <wp:effectExtent b="0" l="0" r="0" t="0"/>
          <wp:docPr descr="horizontal line" id="4"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t xml:space="preserve">© SafeAI for Business • safeaiforbusiness.com • Practical AI governance for SMEs</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after="0" w:before="0" w:line="240" w:lineRule="auto"/>
      <w:ind w:firstLine="75"/>
      <w:rPr>
        <w:rFonts w:ascii="Economica" w:cs="Economica" w:eastAsia="Economica" w:hAnsi="Economica"/>
      </w:rPr>
    </w:pPr>
    <w:r w:rsidDel="00000000" w:rsidR="00000000" w:rsidRPr="00000000">
      <w:rPr>
        <w:rFonts w:ascii="Economica" w:cs="Economica" w:eastAsia="Economica" w:hAnsi="Economica"/>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before="0" w:line="240" w:lineRule="auto"/>
      <w:rPr>
        <w:rFonts w:ascii="Montserrat" w:cs="Montserrat" w:eastAsia="Montserrat" w:hAnsi="Montserrat"/>
        <w:color w:val="666666"/>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104776</wp:posOffset>
          </wp:positionH>
          <wp:positionV relativeFrom="paragraph">
            <wp:posOffset>47625</wp:posOffset>
          </wp:positionV>
          <wp:extent cx="578908" cy="578908"/>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578908" cy="578908"/>
                  </a:xfrm>
                  <a:prstGeom prst="rect"/>
                  <a:ln/>
                </pic:spPr>
              </pic:pic>
            </a:graphicData>
          </a:graphic>
        </wp:anchor>
      </w:drawing>
    </w:r>
  </w:p>
  <w:p w:rsidR="00000000" w:rsidDel="00000000" w:rsidP="00000000" w:rsidRDefault="00000000" w:rsidRPr="00000000" w14:paraId="00000024">
    <w:pPr>
      <w:spacing w:before="0" w:line="240" w:lineRule="auto"/>
      <w:ind w:left="2145" w:firstLine="0"/>
      <w:jc w:val="right"/>
      <w:rPr>
        <w:rFonts w:ascii="Montserrat" w:cs="Montserrat" w:eastAsia="Montserrat" w:hAnsi="Montserrat"/>
        <w:color w:val="666666"/>
      </w:rPr>
    </w:pPr>
    <w:r w:rsidDel="00000000" w:rsidR="00000000" w:rsidRPr="00000000">
      <w:rPr>
        <w:rFonts w:ascii="Montserrat" w:cs="Montserrat" w:eastAsia="Montserrat" w:hAnsi="Montserrat"/>
        <w:color w:val="666666"/>
        <w:rtl w:val="0"/>
      </w:rPr>
      <w:t xml:space="preserve">SafeAI for Business</w:t>
    </w:r>
  </w:p>
  <w:p w:rsidR="00000000" w:rsidDel="00000000" w:rsidP="00000000" w:rsidRDefault="00000000" w:rsidRPr="00000000" w14:paraId="00000025">
    <w:pPr>
      <w:spacing w:after="0" w:before="0" w:line="240" w:lineRule="auto"/>
      <w:ind w:left="2145" w:firstLine="0"/>
      <w:jc w:val="right"/>
      <w:rPr/>
    </w:pPr>
    <w:r w:rsidDel="00000000" w:rsidR="00000000" w:rsidRPr="00000000">
      <w:rPr>
        <w:rFonts w:ascii="Montserrat" w:cs="Montserrat" w:eastAsia="Montserrat" w:hAnsi="Montserrat"/>
        <w:color w:val="666666"/>
        <w:rtl w:val="0"/>
      </w:rPr>
      <w:t xml:space="preserve">Version: v1.0 — Sep 2025</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drawing>
        <wp:inline distB="114300" distT="114300" distL="114300" distR="114300">
          <wp:extent cx="5943600" cy="25400"/>
          <wp:effectExtent b="0" l="0" r="0" t="0"/>
          <wp:docPr descr="horizontal line" id="3" name="image1.png"/>
          <a:graphic>
            <a:graphicData uri="http://schemas.openxmlformats.org/drawingml/2006/picture">
              <pic:pic>
                <pic:nvPicPr>
                  <pic:cNvPr descr="horizontal line" id="0" name="image1.png"/>
                  <pic:cNvPicPr preferRelativeResize="0"/>
                </pic:nvPicPr>
                <pic:blipFill>
                  <a:blip r:embed="rId2"/>
                  <a:srcRect b="0" l="0" r="0" t="0"/>
                  <a:stretch>
                    <a:fillRect/>
                  </a:stretch>
                </pic:blipFill>
                <pic:spPr>
                  <a:xfrm>
                    <a:off x="0" y="0"/>
                    <a:ext cx="5943600" cy="254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sz w:val="22"/>
        <w:szCs w:val="22"/>
        <w:lang w:val="en"/>
      </w:rPr>
    </w:rPrDefault>
    <w:pPrDefault>
      <w:pPr>
        <w:spacing w:before="200" w:line="360" w:lineRule="auto"/>
        <w:ind w:left="-15" w:firstLine="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pageBreakBefore w:val="0"/>
      <w:spacing w:after="0" w:lineRule="auto"/>
    </w:pPr>
    <w:rPr>
      <w:b w:val="1"/>
      <w:bCs w:val="1"/>
      <w:sz w:val="32"/>
      <w:szCs w:val="32"/>
    </w:rPr>
  </w:style>
  <w:style w:type="paragraph" w:styleId="Heading2">
    <w:name w:val="heading 2"/>
    <w:basedOn w:val="Normal"/>
    <w:next w:val="Normal"/>
    <w:pPr>
      <w:pageBreakBefore w:val="0"/>
      <w:spacing w:after="0" w:before="480" w:line="240" w:lineRule="auto"/>
      <w:ind w:right="1785"/>
    </w:pPr>
    <w:rPr>
      <w:b w:val="1"/>
      <w:bCs w:val="1"/>
      <w:sz w:val="26"/>
      <w:szCs w:val="26"/>
    </w:rPr>
  </w:style>
  <w:style w:type="paragraph" w:styleId="Heading3">
    <w:name w:val="heading 3"/>
    <w:basedOn w:val="Normal"/>
    <w:next w:val="Normal"/>
    <w:pPr>
      <w:pageBreakBefore w:val="0"/>
    </w:pPr>
    <w:rPr>
      <w:b w:val="1"/>
      <w:bCs w:val="1"/>
      <w:color w:val="8c725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iCs w:val="1"/>
      <w:color w:val="666666"/>
      <w:sz w:val="22"/>
      <w:szCs w:val="22"/>
    </w:rPr>
  </w:style>
  <w:style w:type="paragraph" w:styleId="Title">
    <w:name w:val="Title"/>
    <w:basedOn w:val="Normal"/>
    <w:next w:val="Normal"/>
    <w:pPr>
      <w:pageBreakBefore w:val="0"/>
      <w:spacing w:before="0" w:line="240" w:lineRule="auto"/>
      <w:ind w:left="0" w:firstLine="15"/>
    </w:pPr>
    <w:rPr>
      <w:rFonts w:ascii="Economica" w:cs="Economica" w:eastAsia="Economica" w:hAnsi="Economica"/>
      <w:sz w:val="60"/>
      <w:szCs w:val="60"/>
    </w:rPr>
  </w:style>
  <w:style w:type="paragraph" w:styleId="Subtitle">
    <w:name w:val="Subtitle"/>
    <w:basedOn w:val="Normal"/>
    <w:next w:val="Normal"/>
    <w:pPr>
      <w:pageBreakBefore w:val="0"/>
      <w:spacing w:before="0" w:line="240" w:lineRule="auto"/>
    </w:pPr>
    <w:rPr>
      <w:rFonts w:ascii="Economica" w:cs="Economica" w:eastAsia="Economica" w:hAnsi="Economica"/>
      <w:color w:val="99999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Economica-regular.ttf"/><Relationship Id="rId2" Type="http://schemas.openxmlformats.org/officeDocument/2006/relationships/font" Target="fonts/Economica-bold.ttf"/><Relationship Id="rId3" Type="http://schemas.openxmlformats.org/officeDocument/2006/relationships/font" Target="fonts/Economica-italic.ttf"/><Relationship Id="rId4" Type="http://schemas.openxmlformats.org/officeDocument/2006/relationships/font" Target="fonts/Economica-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